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7D7E85CB" w:rsidR="00F00777" w:rsidRPr="00793328" w:rsidRDefault="00F00777" w:rsidP="00F00777">
      <w:r w:rsidRPr="00793328">
        <w:rPr>
          <w:color w:val="FF0000"/>
        </w:rPr>
        <w:t>&lt;!--PRODUCT TITLE--&gt;</w:t>
      </w:r>
    </w:p>
    <w:p w14:paraId="11BA88EA" w14:textId="2ED2C6A9" w:rsidR="00C66805" w:rsidRPr="00793328" w:rsidRDefault="00C66805" w:rsidP="00C66805">
      <w:r w:rsidRPr="00793328">
        <w:t xml:space="preserve">Magic: The Gathering </w:t>
      </w:r>
      <w:bookmarkStart w:id="0" w:name="OLE_LINK6"/>
      <w:r w:rsidRPr="00793328">
        <w:t>Grundstein</w:t>
      </w:r>
      <w:bookmarkEnd w:id="0"/>
      <w:r w:rsidRPr="00793328">
        <w:t xml:space="preserve"> Play-Booster (14 Magic-Karten)</w:t>
      </w:r>
    </w:p>
    <w:p w14:paraId="555C0222" w14:textId="6EA1C70F" w:rsidR="008F157D" w:rsidRPr="00793328" w:rsidRDefault="00F00777" w:rsidP="008F157D">
      <w:pPr>
        <w:rPr>
          <w:color w:val="FF0000"/>
        </w:rPr>
      </w:pPr>
      <w:r w:rsidRPr="00793328">
        <w:rPr>
          <w:color w:val="FF0000"/>
        </w:rPr>
        <w:t>&lt;!--KEY PRODUCT FEATURES--&gt;</w:t>
      </w:r>
    </w:p>
    <w:p w14:paraId="49D94908" w14:textId="77777777" w:rsidR="008E1E7C" w:rsidRPr="00793328" w:rsidRDefault="008E1E7C" w:rsidP="008E1E7C">
      <w:pPr>
        <w:pStyle w:val="ListParagraph"/>
        <w:numPr>
          <w:ilvl w:val="0"/>
          <w:numId w:val="16"/>
        </w:numPr>
        <w:spacing w:line="252" w:lineRule="auto"/>
        <w:rPr>
          <w:rFonts w:ascii="Calibri" w:eastAsia="Times New Roman" w:hAnsi="Calibri" w:cs="Calibri"/>
          <w:sz w:val="22"/>
          <w:szCs w:val="22"/>
        </w:rPr>
      </w:pPr>
      <w:bookmarkStart w:id="1" w:name="OLE_LINK23"/>
      <w:bookmarkStart w:id="2" w:name="OLE_LINK1"/>
      <w:bookmarkStart w:id="3" w:name="OLE_LINK9"/>
      <w:bookmarkStart w:id="4" w:name="OLE_LINK11"/>
      <w:r w:rsidRPr="00793328">
        <w:rPr>
          <w:rFonts w:ascii="Calibri" w:hAnsi="Calibri"/>
          <w:sz w:val="22"/>
        </w:rPr>
        <w:t>WILLKOMMEN IM MULTIVERSUM – Lerne die beliebtesten Charaktere von Magic kennen, rufe Zombies oder Katzen herbei und setze deine Armeen oder uralte Mächte strategisch ein; dieses Set enthält die größten Hits von Magic und ist die perfekte Art und Weise, in deinem Freundeskreis mit dem Spielen anzufangen</w:t>
      </w:r>
    </w:p>
    <w:p w14:paraId="2FD39A70" w14:textId="77777777" w:rsidR="008E1E7C" w:rsidRPr="00793328" w:rsidRDefault="008E1E7C" w:rsidP="008E1E7C">
      <w:pPr>
        <w:pStyle w:val="ListParagraph"/>
        <w:numPr>
          <w:ilvl w:val="0"/>
          <w:numId w:val="16"/>
        </w:numPr>
        <w:spacing w:after="160" w:line="252" w:lineRule="auto"/>
        <w:rPr>
          <w:sz w:val="22"/>
          <w:szCs w:val="22"/>
        </w:rPr>
      </w:pPr>
      <w:bookmarkStart w:id="5" w:name="OLE_LINK18"/>
      <w:r w:rsidRPr="00793328">
        <w:rPr>
          <w:sz w:val="22"/>
        </w:rPr>
        <w:t>EIN SPIEL, IN DEM ILLUSTRATIONEN, GESCHICHTEN UND STRATEGIE VERSCHMELZEN – Magic: The Gathering ist ein Sammelkartenspiel, das aus komplexer Strategie, wunderschönen Illustrationen, fantastischen Geschichten und einer blühenden Fan-Community eine unvergleichliche Kartenspielerfahrung webt</w:t>
      </w:r>
    </w:p>
    <w:p w14:paraId="63D88F0E" w14:textId="77777777" w:rsidR="008E1E7C" w:rsidRPr="00793328" w:rsidRDefault="008E1E7C" w:rsidP="008E1E7C">
      <w:pPr>
        <w:pStyle w:val="ListParagraph"/>
        <w:numPr>
          <w:ilvl w:val="0"/>
          <w:numId w:val="16"/>
        </w:numPr>
        <w:rPr>
          <w:rStyle w:val="normaltextrun"/>
          <w:rFonts w:ascii="Calibri" w:eastAsia="Calibri" w:hAnsi="Calibri" w:cs="Calibri"/>
        </w:rPr>
      </w:pPr>
      <w:bookmarkStart w:id="6" w:name="OLE_LINK24"/>
      <w:bookmarkStart w:id="7" w:name="OLE_LINK21"/>
      <w:bookmarkEnd w:id="1"/>
      <w:bookmarkEnd w:id="5"/>
      <w:r w:rsidRPr="00793328">
        <w:rPr>
          <w:rFonts w:ascii="Calibri" w:hAnsi="Calibri"/>
          <w:sz w:val="22"/>
        </w:rPr>
        <w:t xml:space="preserve">DIE BESTEN BOOSTER, UM IM FREUNDESKREIS ZU SPIELEN – </w:t>
      </w:r>
      <w:r w:rsidRPr="00793328">
        <w:rPr>
          <w:rStyle w:val="normaltextrun"/>
          <w:rFonts w:ascii="Calibri" w:hAnsi="Calibri"/>
          <w:sz w:val="22"/>
        </w:rPr>
        <w:t>Stelle ein Deck in deiner Lieblingsfarbkombination zusammen oder drafte Booster mit Freundinnen und Freunden. Play-Booster sind perfekt für jede Art zu spielen geeignet</w:t>
      </w:r>
    </w:p>
    <w:p w14:paraId="05F4FA29" w14:textId="77777777" w:rsidR="008E1E7C" w:rsidRPr="00793328" w:rsidRDefault="008E1E7C" w:rsidP="008E1E7C">
      <w:pPr>
        <w:pStyle w:val="ListParagraph"/>
        <w:numPr>
          <w:ilvl w:val="0"/>
          <w:numId w:val="16"/>
        </w:numPr>
        <w:spacing w:line="252" w:lineRule="auto"/>
        <w:rPr>
          <w:rFonts w:eastAsia="Times New Roman"/>
        </w:rPr>
      </w:pPr>
      <w:bookmarkStart w:id="8" w:name="OLE_LINK30"/>
      <w:r w:rsidRPr="00793328">
        <w:rPr>
          <w:rFonts w:ascii="Calibri" w:hAnsi="Calibri"/>
          <w:sz w:val="22"/>
        </w:rPr>
        <w:t xml:space="preserve">EINFACH DIE BESTEN KARTEN – </w:t>
      </w:r>
      <w:bookmarkStart w:id="9" w:name="OLE_LINK27"/>
      <w:bookmarkEnd w:id="8"/>
      <w:r w:rsidRPr="00793328">
        <w:rPr>
          <w:rStyle w:val="normaltextrun"/>
          <w:rFonts w:ascii="Calibri" w:hAnsi="Calibri"/>
          <w:sz w:val="22"/>
        </w:rPr>
        <w:t>Spiele mit Karten, die Magic zu dem gemacht haben, was es heute ist, und öffne Booster, die wunderschöne Karten ohne Rand enthalten können, auf denen die Illustration der Karte gebührend zur Geltung kommt, darunter auch beliebte neu aufgelegte Karten mit neuer Illustration</w:t>
      </w:r>
      <w:bookmarkEnd w:id="9"/>
    </w:p>
    <w:p w14:paraId="222DA3DB" w14:textId="77777777" w:rsidR="008E1E7C" w:rsidRPr="00793328" w:rsidRDefault="008E1E7C" w:rsidP="008E1E7C">
      <w:pPr>
        <w:pStyle w:val="ListParagraph"/>
        <w:numPr>
          <w:ilvl w:val="0"/>
          <w:numId w:val="16"/>
        </w:numPr>
        <w:rPr>
          <w:rFonts w:ascii="Calibri" w:eastAsia="Calibri" w:hAnsi="Calibri" w:cs="Calibri"/>
          <w:sz w:val="22"/>
          <w:szCs w:val="22"/>
        </w:rPr>
      </w:pPr>
      <w:bookmarkStart w:id="10" w:name="OLE_LINK28"/>
      <w:bookmarkEnd w:id="6"/>
      <w:r w:rsidRPr="00793328">
        <w:rPr>
          <w:rFonts w:ascii="Calibri" w:hAnsi="Calibri"/>
          <w:sz w:val="22"/>
        </w:rPr>
        <w:t xml:space="preserve">SAMMLE SELTENE UND SAGENHAFT SELTENE KARTEN – </w:t>
      </w:r>
      <w:bookmarkStart w:id="11" w:name="OLE_LINK22"/>
      <w:r w:rsidRPr="00793328">
        <w:rPr>
          <w:rFonts w:ascii="Calibri" w:hAnsi="Calibri"/>
          <w:sz w:val="22"/>
        </w:rPr>
        <w:t xml:space="preserve">Jeder Play-Booster enthält 1–4 Karten der Seltenheit selten oder höher </w:t>
      </w:r>
      <w:bookmarkStart w:id="12" w:name="OLE_LINK33"/>
      <w:r w:rsidRPr="00793328">
        <w:rPr>
          <w:rFonts w:ascii="Calibri" w:hAnsi="Calibri"/>
          <w:sz w:val="22"/>
        </w:rPr>
        <w:t>mit der Möglichkeit eine sagenhaft seltene Special Guests Karte aus der Geschichte von Magic</w:t>
      </w:r>
      <w:bookmarkEnd w:id="11"/>
      <w:r w:rsidRPr="00793328">
        <w:rPr>
          <w:rFonts w:ascii="Calibri" w:hAnsi="Calibri"/>
          <w:sz w:val="22"/>
        </w:rPr>
        <w:t xml:space="preserve"> mit atemberaubendem alternativem Kartenrand zu erhalten</w:t>
      </w:r>
    </w:p>
    <w:bookmarkEnd w:id="10"/>
    <w:bookmarkEnd w:id="12"/>
    <w:p w14:paraId="4BF3BB6F" w14:textId="77777777" w:rsidR="008E1E7C" w:rsidRPr="00793328" w:rsidRDefault="008E1E7C" w:rsidP="008E1E7C">
      <w:pPr>
        <w:pStyle w:val="ListParagraph"/>
        <w:numPr>
          <w:ilvl w:val="0"/>
          <w:numId w:val="16"/>
        </w:numPr>
        <w:rPr>
          <w:rFonts w:ascii="Calibri" w:eastAsia="Calibri" w:hAnsi="Calibri" w:cs="Calibri"/>
          <w:sz w:val="22"/>
          <w:szCs w:val="22"/>
        </w:rPr>
      </w:pPr>
      <w:r w:rsidRPr="00793328">
        <w:rPr>
          <w:rFonts w:ascii="Calibri" w:hAnsi="Calibri"/>
          <w:sz w:val="22"/>
        </w:rPr>
        <w:t>GLÄNZENDE FOILKARTE IN JEDEM BOOSTER – Jeder Play-Booster enthält außerdem mindestens 1 glänzende traditionelle Foilkarte beliebiger Seltenheit; in 20 % der Booster findest du auch eine traditionelle Foil-Länderkarte</w:t>
      </w:r>
    </w:p>
    <w:bookmarkEnd w:id="2"/>
    <w:bookmarkEnd w:id="7"/>
    <w:p w14:paraId="7E98BA2F" w14:textId="373FAB35" w:rsidR="00677316" w:rsidRPr="00793328" w:rsidRDefault="008E1E7C" w:rsidP="00677316">
      <w:pPr>
        <w:pStyle w:val="ListParagraph"/>
        <w:numPr>
          <w:ilvl w:val="0"/>
          <w:numId w:val="16"/>
        </w:numPr>
        <w:spacing w:line="252" w:lineRule="auto"/>
        <w:rPr>
          <w:rFonts w:ascii="Calibri" w:eastAsia="Times New Roman" w:hAnsi="Calibri" w:cs="Calibri"/>
          <w:sz w:val="22"/>
          <w:szCs w:val="22"/>
        </w:rPr>
      </w:pPr>
      <w:r w:rsidRPr="00793328">
        <w:rPr>
          <w:rFonts w:ascii="Calibri" w:hAnsi="Calibri"/>
          <w:sz w:val="22"/>
        </w:rPr>
        <w:t xml:space="preserve">INHALT – 1 Grundstein-Play-Booster, der 14 MTG-Karten </w:t>
      </w:r>
      <w:bookmarkEnd w:id="3"/>
      <w:bookmarkEnd w:id="4"/>
      <w:r w:rsidRPr="00793328">
        <w:rPr>
          <w:rFonts w:ascii="Calibri" w:hAnsi="Calibri"/>
          <w:sz w:val="22"/>
        </w:rPr>
        <w:t>und 1 Spielstein-/Werbekarte oder Artwork-Karte enthält</w:t>
      </w:r>
    </w:p>
    <w:p w14:paraId="6323C024" w14:textId="77777777" w:rsidR="008920BF" w:rsidRPr="00793328" w:rsidRDefault="008920BF" w:rsidP="008920BF">
      <w:pPr>
        <w:pStyle w:val="ListParagraph"/>
        <w:rPr>
          <w:rStyle w:val="a-list-item"/>
          <w:sz w:val="22"/>
          <w:szCs w:val="22"/>
        </w:rPr>
      </w:pPr>
    </w:p>
    <w:p w14:paraId="514762BC" w14:textId="5D1B0CE1" w:rsidR="00F543C9" w:rsidRPr="00793328" w:rsidRDefault="00F00777" w:rsidP="00FD7CED">
      <w:pPr>
        <w:rPr>
          <w:rFonts w:cstheme="minorHAnsi"/>
        </w:rPr>
      </w:pPr>
      <w:r w:rsidRPr="00793328">
        <w:rPr>
          <w:color w:val="FF0000"/>
        </w:rPr>
        <w:t>&lt;!--DESCRIPTION--&gt;</w:t>
      </w:r>
    </w:p>
    <w:p w14:paraId="00C5B320" w14:textId="4191C121" w:rsidR="008E1E7C" w:rsidRPr="00793328" w:rsidRDefault="008E1E7C" w:rsidP="008E1E7C">
      <w:pPr>
        <w:spacing w:line="252" w:lineRule="auto"/>
        <w:rPr>
          <w:rFonts w:ascii="Calibri" w:hAnsi="Calibri" w:cs="Calibri"/>
        </w:rPr>
      </w:pPr>
      <w:bookmarkStart w:id="13" w:name="OLE_LINK17"/>
      <w:bookmarkStart w:id="14" w:name="OLE_LINK3"/>
      <w:bookmarkStart w:id="15" w:name="OLE_LINK7"/>
      <w:bookmarkStart w:id="16" w:name="OLE_LINK14"/>
      <w:r w:rsidRPr="00793328">
        <w:rPr>
          <w:rStyle w:val="normaltextrun"/>
          <w:rFonts w:ascii="Calibri" w:hAnsi="Calibri"/>
        </w:rPr>
        <w:t xml:space="preserve">Es gibt keine bessere Zeit für deine erste Magic-Partie als jetzt. Tauche in Grundstein ein, um gemeinsam mit anderen Magic: The Gathering in seiner reinsten Form zu erleben, indem du Karten spielst und sammelst, die für alle Spielenden gedacht sind. </w:t>
      </w:r>
      <w:bookmarkEnd w:id="13"/>
      <w:r w:rsidRPr="00793328">
        <w:t xml:space="preserve">Dieser </w:t>
      </w:r>
      <w:bookmarkEnd w:id="14"/>
      <w:r w:rsidRPr="00793328">
        <w:t xml:space="preserve">Grundstein-Play-Booster </w:t>
      </w:r>
      <w:bookmarkStart w:id="17" w:name="OLE_LINK4"/>
      <w:bookmarkStart w:id="18" w:name="OLE_LINK31"/>
      <w:bookmarkStart w:id="19" w:name="OLE_LINK12"/>
      <w:r w:rsidRPr="00793328">
        <w:t xml:space="preserve">enthält 14 Magic: The Gathering Karten und 1 Spielstein-/Werbekarte oder Artwork-Karte. (In 30 % der Booster ist eine normale Artwork-Karte enthalten und in 5 % der Booster eine Signatur-Artwork-Karte mit Promo-Aufdruck.) </w:t>
      </w:r>
      <w:bookmarkEnd w:id="15"/>
      <w:bookmarkEnd w:id="17"/>
      <w:r w:rsidRPr="00793328">
        <w:t>Jeder Booster enthält eine Kombination aus 1–4 Karten der Seltenheit selten oder höher sowie 3–5 nicht ganz so häufigen Karten, 6–9 häufigen Karten und 1 Länderkarte (Länderkarte mit großflächiger Illustration in 25 % der Booster). Eine Karte beliebiger Seltenheit ist eine traditionelle Foilkarte. Die Länderkarte ist in 20 % der Booster ebenfalls eine traditionelle Foilkarte.</w:t>
      </w:r>
      <w:bookmarkEnd w:id="16"/>
      <w:bookmarkEnd w:id="18"/>
      <w:bookmarkEnd w:id="19"/>
    </w:p>
    <w:p w14:paraId="30F868A3" w14:textId="77777777" w:rsidR="00F543C9" w:rsidRPr="00793328" w:rsidRDefault="00F543C9" w:rsidP="002045CB">
      <w:pPr>
        <w:spacing w:line="252" w:lineRule="auto"/>
      </w:pPr>
    </w:p>
    <w:p w14:paraId="4D2CC9B4" w14:textId="77777777" w:rsidR="000B327D" w:rsidRPr="00970055" w:rsidRDefault="000B327D" w:rsidP="00970055">
      <w:pPr>
        <w:spacing w:after="0"/>
        <w:rPr>
          <w:rFonts w:cstheme="minorHAnsi"/>
        </w:rPr>
      </w:pPr>
    </w:p>
    <w:sectPr w:rsidR="000B327D" w:rsidRPr="00970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 w:numId="14" w16cid:durableId="156265284">
    <w:abstractNumId w:val="4"/>
  </w:num>
  <w:num w:numId="15" w16cid:durableId="578060063">
    <w:abstractNumId w:val="4"/>
  </w:num>
  <w:num w:numId="16" w16cid:durableId="847478109">
    <w:abstractNumId w:val="4"/>
  </w:num>
  <w:num w:numId="17" w16cid:durableId="21331638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16300"/>
    <w:rsid w:val="00027189"/>
    <w:rsid w:val="0003615A"/>
    <w:rsid w:val="000535BA"/>
    <w:rsid w:val="00053959"/>
    <w:rsid w:val="00054827"/>
    <w:rsid w:val="00055EBB"/>
    <w:rsid w:val="00056FB2"/>
    <w:rsid w:val="00057665"/>
    <w:rsid w:val="0007497E"/>
    <w:rsid w:val="00076090"/>
    <w:rsid w:val="00077D88"/>
    <w:rsid w:val="00091993"/>
    <w:rsid w:val="00096AFA"/>
    <w:rsid w:val="000A0D7F"/>
    <w:rsid w:val="000B327D"/>
    <w:rsid w:val="000B4118"/>
    <w:rsid w:val="000C714D"/>
    <w:rsid w:val="000D2D47"/>
    <w:rsid w:val="000D4BA6"/>
    <w:rsid w:val="000E0D38"/>
    <w:rsid w:val="000E5A5F"/>
    <w:rsid w:val="000E750D"/>
    <w:rsid w:val="000F14C1"/>
    <w:rsid w:val="000F4049"/>
    <w:rsid w:val="00100FEF"/>
    <w:rsid w:val="00122B43"/>
    <w:rsid w:val="00123CF9"/>
    <w:rsid w:val="00123DE5"/>
    <w:rsid w:val="00125D64"/>
    <w:rsid w:val="0013045D"/>
    <w:rsid w:val="00134905"/>
    <w:rsid w:val="00144E8A"/>
    <w:rsid w:val="00151011"/>
    <w:rsid w:val="0015371D"/>
    <w:rsid w:val="00155E67"/>
    <w:rsid w:val="001577A9"/>
    <w:rsid w:val="00160E99"/>
    <w:rsid w:val="0016509B"/>
    <w:rsid w:val="00182A05"/>
    <w:rsid w:val="001851B8"/>
    <w:rsid w:val="0018638B"/>
    <w:rsid w:val="00187E0D"/>
    <w:rsid w:val="00187ED7"/>
    <w:rsid w:val="001911F8"/>
    <w:rsid w:val="00192E80"/>
    <w:rsid w:val="001963F2"/>
    <w:rsid w:val="0019710E"/>
    <w:rsid w:val="001A117B"/>
    <w:rsid w:val="001A43B8"/>
    <w:rsid w:val="001A5626"/>
    <w:rsid w:val="001B0134"/>
    <w:rsid w:val="001B2E65"/>
    <w:rsid w:val="001B5C96"/>
    <w:rsid w:val="001B5EC1"/>
    <w:rsid w:val="001C34A0"/>
    <w:rsid w:val="001D735C"/>
    <w:rsid w:val="001E1477"/>
    <w:rsid w:val="001F56E9"/>
    <w:rsid w:val="001F65C1"/>
    <w:rsid w:val="0020345B"/>
    <w:rsid w:val="002045CB"/>
    <w:rsid w:val="002050D0"/>
    <w:rsid w:val="00205492"/>
    <w:rsid w:val="00225399"/>
    <w:rsid w:val="00225F9A"/>
    <w:rsid w:val="00226836"/>
    <w:rsid w:val="002319B9"/>
    <w:rsid w:val="00231BB0"/>
    <w:rsid w:val="00237D36"/>
    <w:rsid w:val="00241942"/>
    <w:rsid w:val="0024413E"/>
    <w:rsid w:val="0024434F"/>
    <w:rsid w:val="00247217"/>
    <w:rsid w:val="00247D82"/>
    <w:rsid w:val="00252308"/>
    <w:rsid w:val="0025667A"/>
    <w:rsid w:val="00267F04"/>
    <w:rsid w:val="00273008"/>
    <w:rsid w:val="00275BB8"/>
    <w:rsid w:val="00276C06"/>
    <w:rsid w:val="00277D59"/>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3D4B"/>
    <w:rsid w:val="0030552F"/>
    <w:rsid w:val="00307676"/>
    <w:rsid w:val="003106A2"/>
    <w:rsid w:val="00310A9F"/>
    <w:rsid w:val="003115A1"/>
    <w:rsid w:val="0031308D"/>
    <w:rsid w:val="0032037A"/>
    <w:rsid w:val="00323B8F"/>
    <w:rsid w:val="00340469"/>
    <w:rsid w:val="003435AD"/>
    <w:rsid w:val="0034519A"/>
    <w:rsid w:val="00354757"/>
    <w:rsid w:val="00354E7A"/>
    <w:rsid w:val="00363150"/>
    <w:rsid w:val="00363BD4"/>
    <w:rsid w:val="00367486"/>
    <w:rsid w:val="00370F32"/>
    <w:rsid w:val="0037202E"/>
    <w:rsid w:val="003A3CCB"/>
    <w:rsid w:val="003A6972"/>
    <w:rsid w:val="003A6E33"/>
    <w:rsid w:val="003A74A2"/>
    <w:rsid w:val="003B4C5E"/>
    <w:rsid w:val="003B58EC"/>
    <w:rsid w:val="003B7E9B"/>
    <w:rsid w:val="003C44A1"/>
    <w:rsid w:val="003C5B32"/>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A50A9"/>
    <w:rsid w:val="004B26F2"/>
    <w:rsid w:val="004B33A8"/>
    <w:rsid w:val="004B37D6"/>
    <w:rsid w:val="004B604C"/>
    <w:rsid w:val="004C0EC2"/>
    <w:rsid w:val="004C0F63"/>
    <w:rsid w:val="004C7F4B"/>
    <w:rsid w:val="004D52E0"/>
    <w:rsid w:val="004D7CAA"/>
    <w:rsid w:val="004E290E"/>
    <w:rsid w:val="004E6334"/>
    <w:rsid w:val="004F3E69"/>
    <w:rsid w:val="004F75A5"/>
    <w:rsid w:val="004F77CB"/>
    <w:rsid w:val="004F7987"/>
    <w:rsid w:val="005013E9"/>
    <w:rsid w:val="00513845"/>
    <w:rsid w:val="00513FD6"/>
    <w:rsid w:val="005167E0"/>
    <w:rsid w:val="005179DB"/>
    <w:rsid w:val="0052650F"/>
    <w:rsid w:val="00531802"/>
    <w:rsid w:val="00534571"/>
    <w:rsid w:val="005413A6"/>
    <w:rsid w:val="00550DF2"/>
    <w:rsid w:val="00556271"/>
    <w:rsid w:val="005648B7"/>
    <w:rsid w:val="00567D36"/>
    <w:rsid w:val="00581A16"/>
    <w:rsid w:val="00582918"/>
    <w:rsid w:val="0058338A"/>
    <w:rsid w:val="00591BFD"/>
    <w:rsid w:val="00596EFC"/>
    <w:rsid w:val="005A35E2"/>
    <w:rsid w:val="005A5641"/>
    <w:rsid w:val="005C394D"/>
    <w:rsid w:val="005C42B5"/>
    <w:rsid w:val="005C7CDF"/>
    <w:rsid w:val="005D0C0E"/>
    <w:rsid w:val="005D4A57"/>
    <w:rsid w:val="005F161B"/>
    <w:rsid w:val="005F1D08"/>
    <w:rsid w:val="005F2B27"/>
    <w:rsid w:val="0060079E"/>
    <w:rsid w:val="00601CF2"/>
    <w:rsid w:val="00605A9D"/>
    <w:rsid w:val="0060707B"/>
    <w:rsid w:val="00607666"/>
    <w:rsid w:val="00622B7E"/>
    <w:rsid w:val="0062797F"/>
    <w:rsid w:val="0063120E"/>
    <w:rsid w:val="00643B80"/>
    <w:rsid w:val="00645A80"/>
    <w:rsid w:val="00651E4D"/>
    <w:rsid w:val="00652C6A"/>
    <w:rsid w:val="00666787"/>
    <w:rsid w:val="006672D1"/>
    <w:rsid w:val="00670AA4"/>
    <w:rsid w:val="0067346B"/>
    <w:rsid w:val="00677316"/>
    <w:rsid w:val="00690630"/>
    <w:rsid w:val="006A1CEC"/>
    <w:rsid w:val="006A3239"/>
    <w:rsid w:val="006A7F66"/>
    <w:rsid w:val="006B449F"/>
    <w:rsid w:val="006C0A0E"/>
    <w:rsid w:val="006D0AF1"/>
    <w:rsid w:val="006D47C8"/>
    <w:rsid w:val="006D5734"/>
    <w:rsid w:val="006D6161"/>
    <w:rsid w:val="006D6BA2"/>
    <w:rsid w:val="006D7A08"/>
    <w:rsid w:val="006E21ED"/>
    <w:rsid w:val="006E2F20"/>
    <w:rsid w:val="006E6D12"/>
    <w:rsid w:val="006F1577"/>
    <w:rsid w:val="006F3A55"/>
    <w:rsid w:val="006F521E"/>
    <w:rsid w:val="006F5D9C"/>
    <w:rsid w:val="006F7611"/>
    <w:rsid w:val="006F7706"/>
    <w:rsid w:val="00723A8D"/>
    <w:rsid w:val="00740C10"/>
    <w:rsid w:val="0074566C"/>
    <w:rsid w:val="00747644"/>
    <w:rsid w:val="00751C25"/>
    <w:rsid w:val="007609FD"/>
    <w:rsid w:val="007622F8"/>
    <w:rsid w:val="00766BD3"/>
    <w:rsid w:val="00767140"/>
    <w:rsid w:val="00772C03"/>
    <w:rsid w:val="007757E5"/>
    <w:rsid w:val="00780DBB"/>
    <w:rsid w:val="007835C3"/>
    <w:rsid w:val="00787B98"/>
    <w:rsid w:val="00793328"/>
    <w:rsid w:val="007A178C"/>
    <w:rsid w:val="007B4F9A"/>
    <w:rsid w:val="007B5501"/>
    <w:rsid w:val="007B6F53"/>
    <w:rsid w:val="007D6396"/>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61D11"/>
    <w:rsid w:val="008741FD"/>
    <w:rsid w:val="00877C71"/>
    <w:rsid w:val="00887234"/>
    <w:rsid w:val="008920BF"/>
    <w:rsid w:val="008A60B6"/>
    <w:rsid w:val="008B46E7"/>
    <w:rsid w:val="008B4E95"/>
    <w:rsid w:val="008B7B40"/>
    <w:rsid w:val="008C4C9E"/>
    <w:rsid w:val="008C7229"/>
    <w:rsid w:val="008D55D8"/>
    <w:rsid w:val="008E1E7C"/>
    <w:rsid w:val="008E4AE9"/>
    <w:rsid w:val="008E5721"/>
    <w:rsid w:val="008F0C24"/>
    <w:rsid w:val="008F157D"/>
    <w:rsid w:val="00914C32"/>
    <w:rsid w:val="009152A3"/>
    <w:rsid w:val="0092579C"/>
    <w:rsid w:val="00933906"/>
    <w:rsid w:val="009405AD"/>
    <w:rsid w:val="009477FE"/>
    <w:rsid w:val="0095197F"/>
    <w:rsid w:val="00952345"/>
    <w:rsid w:val="009652CB"/>
    <w:rsid w:val="009657A0"/>
    <w:rsid w:val="00970055"/>
    <w:rsid w:val="00972DA2"/>
    <w:rsid w:val="009741DE"/>
    <w:rsid w:val="009747DA"/>
    <w:rsid w:val="009764F9"/>
    <w:rsid w:val="009779C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F0619"/>
    <w:rsid w:val="009F1966"/>
    <w:rsid w:val="009F306E"/>
    <w:rsid w:val="009F7963"/>
    <w:rsid w:val="00A057A4"/>
    <w:rsid w:val="00A13444"/>
    <w:rsid w:val="00A13E5E"/>
    <w:rsid w:val="00A160EF"/>
    <w:rsid w:val="00A20712"/>
    <w:rsid w:val="00A20B55"/>
    <w:rsid w:val="00A210FB"/>
    <w:rsid w:val="00A23827"/>
    <w:rsid w:val="00A34CA1"/>
    <w:rsid w:val="00A366FC"/>
    <w:rsid w:val="00A410FC"/>
    <w:rsid w:val="00A43FEC"/>
    <w:rsid w:val="00A45094"/>
    <w:rsid w:val="00A54589"/>
    <w:rsid w:val="00A57D59"/>
    <w:rsid w:val="00A615EA"/>
    <w:rsid w:val="00A7513B"/>
    <w:rsid w:val="00A815F9"/>
    <w:rsid w:val="00A9211E"/>
    <w:rsid w:val="00A93249"/>
    <w:rsid w:val="00A97AC4"/>
    <w:rsid w:val="00AA2663"/>
    <w:rsid w:val="00AA5FB6"/>
    <w:rsid w:val="00AB1C79"/>
    <w:rsid w:val="00AC0843"/>
    <w:rsid w:val="00AC2453"/>
    <w:rsid w:val="00AE284C"/>
    <w:rsid w:val="00AE3A45"/>
    <w:rsid w:val="00AF1B2A"/>
    <w:rsid w:val="00AF261A"/>
    <w:rsid w:val="00AF76A4"/>
    <w:rsid w:val="00B00D7F"/>
    <w:rsid w:val="00B01C8F"/>
    <w:rsid w:val="00B12AD3"/>
    <w:rsid w:val="00B158D5"/>
    <w:rsid w:val="00B16187"/>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90DDB"/>
    <w:rsid w:val="00BB152A"/>
    <w:rsid w:val="00BB2F8E"/>
    <w:rsid w:val="00BC4FDA"/>
    <w:rsid w:val="00BD5453"/>
    <w:rsid w:val="00BE30F0"/>
    <w:rsid w:val="00BE30F8"/>
    <w:rsid w:val="00BE6DF4"/>
    <w:rsid w:val="00BE76E6"/>
    <w:rsid w:val="00BF2139"/>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66805"/>
    <w:rsid w:val="00C7712E"/>
    <w:rsid w:val="00C77ED6"/>
    <w:rsid w:val="00C8270D"/>
    <w:rsid w:val="00C876C6"/>
    <w:rsid w:val="00C940DA"/>
    <w:rsid w:val="00C961FA"/>
    <w:rsid w:val="00C97968"/>
    <w:rsid w:val="00CB06F9"/>
    <w:rsid w:val="00CC0E26"/>
    <w:rsid w:val="00CC2233"/>
    <w:rsid w:val="00CC257C"/>
    <w:rsid w:val="00CC459F"/>
    <w:rsid w:val="00CD0296"/>
    <w:rsid w:val="00CE6B7D"/>
    <w:rsid w:val="00D01536"/>
    <w:rsid w:val="00D07DAB"/>
    <w:rsid w:val="00D15391"/>
    <w:rsid w:val="00D22CE0"/>
    <w:rsid w:val="00D23982"/>
    <w:rsid w:val="00D23F30"/>
    <w:rsid w:val="00D317A0"/>
    <w:rsid w:val="00D32841"/>
    <w:rsid w:val="00D425E4"/>
    <w:rsid w:val="00D509E2"/>
    <w:rsid w:val="00D52E4D"/>
    <w:rsid w:val="00D62410"/>
    <w:rsid w:val="00D7051D"/>
    <w:rsid w:val="00D86723"/>
    <w:rsid w:val="00D90DA1"/>
    <w:rsid w:val="00D9439A"/>
    <w:rsid w:val="00DA17AF"/>
    <w:rsid w:val="00DA4328"/>
    <w:rsid w:val="00DB5B05"/>
    <w:rsid w:val="00DD2058"/>
    <w:rsid w:val="00DD6F1C"/>
    <w:rsid w:val="00DE4FC2"/>
    <w:rsid w:val="00DF04B5"/>
    <w:rsid w:val="00DF1345"/>
    <w:rsid w:val="00DF5967"/>
    <w:rsid w:val="00DF7FEC"/>
    <w:rsid w:val="00E068FC"/>
    <w:rsid w:val="00E140C8"/>
    <w:rsid w:val="00E31797"/>
    <w:rsid w:val="00E36A06"/>
    <w:rsid w:val="00E37BB6"/>
    <w:rsid w:val="00E50019"/>
    <w:rsid w:val="00E57461"/>
    <w:rsid w:val="00E60B9A"/>
    <w:rsid w:val="00E62A7C"/>
    <w:rsid w:val="00E672B9"/>
    <w:rsid w:val="00E71921"/>
    <w:rsid w:val="00E763F2"/>
    <w:rsid w:val="00E76712"/>
    <w:rsid w:val="00E81073"/>
    <w:rsid w:val="00E82013"/>
    <w:rsid w:val="00E825C4"/>
    <w:rsid w:val="00E8671F"/>
    <w:rsid w:val="00E872FB"/>
    <w:rsid w:val="00EC3439"/>
    <w:rsid w:val="00EC7256"/>
    <w:rsid w:val="00ED0112"/>
    <w:rsid w:val="00EE3906"/>
    <w:rsid w:val="00EF40EB"/>
    <w:rsid w:val="00F00777"/>
    <w:rsid w:val="00F00983"/>
    <w:rsid w:val="00F011D1"/>
    <w:rsid w:val="00F0292A"/>
    <w:rsid w:val="00F0433F"/>
    <w:rsid w:val="00F05E4B"/>
    <w:rsid w:val="00F064FE"/>
    <w:rsid w:val="00F125D7"/>
    <w:rsid w:val="00F20CB5"/>
    <w:rsid w:val="00F228BC"/>
    <w:rsid w:val="00F23690"/>
    <w:rsid w:val="00F260D6"/>
    <w:rsid w:val="00F30240"/>
    <w:rsid w:val="00F325B1"/>
    <w:rsid w:val="00F37B8A"/>
    <w:rsid w:val="00F402BD"/>
    <w:rsid w:val="00F461D0"/>
    <w:rsid w:val="00F5052A"/>
    <w:rsid w:val="00F50D0A"/>
    <w:rsid w:val="00F5327F"/>
    <w:rsid w:val="00F543C9"/>
    <w:rsid w:val="00F549D6"/>
    <w:rsid w:val="00F55050"/>
    <w:rsid w:val="00F63197"/>
    <w:rsid w:val="00F64BF4"/>
    <w:rsid w:val="00F7138F"/>
    <w:rsid w:val="00F72D57"/>
    <w:rsid w:val="00F776AC"/>
    <w:rsid w:val="00F808AD"/>
    <w:rsid w:val="00F846A7"/>
    <w:rsid w:val="00F9201D"/>
    <w:rsid w:val="00FB2395"/>
    <w:rsid w:val="00FC7D62"/>
    <w:rsid w:val="00FD50B5"/>
    <w:rsid w:val="00FD7CED"/>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F47BE3"/>
    <w:rsid w:val="1A01BEB9"/>
    <w:rsid w:val="1A0BA5A4"/>
    <w:rsid w:val="1D57A3FA"/>
    <w:rsid w:val="1D6EBDAF"/>
    <w:rsid w:val="1DB181EB"/>
    <w:rsid w:val="1E981891"/>
    <w:rsid w:val="1FF9BDBE"/>
    <w:rsid w:val="227FA51D"/>
    <w:rsid w:val="2518CFCA"/>
    <w:rsid w:val="267D4174"/>
    <w:rsid w:val="27C49726"/>
    <w:rsid w:val="2E2B75AA"/>
    <w:rsid w:val="2EA21560"/>
    <w:rsid w:val="2F037A0F"/>
    <w:rsid w:val="2F67C70B"/>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2A1ABAD"/>
    <w:rsid w:val="7316BEB9"/>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 w:type="character" w:customStyle="1" w:styleId="normaltextrun">
    <w:name w:val="normaltextrun"/>
    <w:basedOn w:val="DefaultParagraphFont"/>
    <w:rsid w:val="008E1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31756">
      <w:bodyDiv w:val="1"/>
      <w:marLeft w:val="0"/>
      <w:marRight w:val="0"/>
      <w:marTop w:val="0"/>
      <w:marBottom w:val="0"/>
      <w:divBdr>
        <w:top w:val="none" w:sz="0" w:space="0" w:color="auto"/>
        <w:left w:val="none" w:sz="0" w:space="0" w:color="auto"/>
        <w:bottom w:val="none" w:sz="0" w:space="0" w:color="auto"/>
        <w:right w:val="none" w:sz="0" w:space="0" w:color="auto"/>
      </w:divBdr>
    </w:div>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4207125">
      <w:bodyDiv w:val="1"/>
      <w:marLeft w:val="0"/>
      <w:marRight w:val="0"/>
      <w:marTop w:val="0"/>
      <w:marBottom w:val="0"/>
      <w:divBdr>
        <w:top w:val="none" w:sz="0" w:space="0" w:color="auto"/>
        <w:left w:val="none" w:sz="0" w:space="0" w:color="auto"/>
        <w:bottom w:val="none" w:sz="0" w:space="0" w:color="auto"/>
        <w:right w:val="none" w:sz="0" w:space="0" w:color="auto"/>
      </w:divBdr>
    </w:div>
    <w:div w:id="438796019">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538590281">
      <w:bodyDiv w:val="1"/>
      <w:marLeft w:val="0"/>
      <w:marRight w:val="0"/>
      <w:marTop w:val="0"/>
      <w:marBottom w:val="0"/>
      <w:divBdr>
        <w:top w:val="none" w:sz="0" w:space="0" w:color="auto"/>
        <w:left w:val="none" w:sz="0" w:space="0" w:color="auto"/>
        <w:bottom w:val="none" w:sz="0" w:space="0" w:color="auto"/>
        <w:right w:val="none" w:sz="0" w:space="0" w:color="auto"/>
      </w:divBdr>
    </w:div>
    <w:div w:id="825634588">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962079692">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309629286">
      <w:bodyDiv w:val="1"/>
      <w:marLeft w:val="0"/>
      <w:marRight w:val="0"/>
      <w:marTop w:val="0"/>
      <w:marBottom w:val="0"/>
      <w:divBdr>
        <w:top w:val="none" w:sz="0" w:space="0" w:color="auto"/>
        <w:left w:val="none" w:sz="0" w:space="0" w:color="auto"/>
        <w:bottom w:val="none" w:sz="0" w:space="0" w:color="auto"/>
        <w:right w:val="none" w:sz="0" w:space="0" w:color="auto"/>
      </w:divBdr>
    </w:div>
    <w:div w:id="1420174662">
      <w:bodyDiv w:val="1"/>
      <w:marLeft w:val="0"/>
      <w:marRight w:val="0"/>
      <w:marTop w:val="0"/>
      <w:marBottom w:val="0"/>
      <w:divBdr>
        <w:top w:val="none" w:sz="0" w:space="0" w:color="auto"/>
        <w:left w:val="none" w:sz="0" w:space="0" w:color="auto"/>
        <w:bottom w:val="none" w:sz="0" w:space="0" w:color="auto"/>
        <w:right w:val="none" w:sz="0" w:space="0" w:color="auto"/>
      </w:divBdr>
    </w:div>
    <w:div w:id="1680304133">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77YQAP2ARQXF-1721893438-34600</_dlc_DocId>
    <_dlc_DocIdUrl xmlns="7c112553-409f-4c2c-a98f-f7463e97c83a">
      <Url>https://hasbroinc.sharepoint.com/sites/wizards/salesmarketing/trademarketing/_layouts/15/DocIdRedir.aspx?ID=77YQAP2ARQXF-1721893438-34600</Url>
      <Description>77YQAP2ARQXF-1721893438-34600</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2.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3.xml><?xml version="1.0" encoding="utf-8"?>
<ds:datastoreItem xmlns:ds="http://schemas.openxmlformats.org/officeDocument/2006/customXml" ds:itemID="{92C6599C-E059-439A-A19C-B39DA6735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5.xml><?xml version="1.0" encoding="utf-8"?>
<ds:datastoreItem xmlns:ds="http://schemas.openxmlformats.org/officeDocument/2006/customXml" ds:itemID="{A580470B-5E41-4365-B103-7F64D0E26C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444</cp:revision>
  <dcterms:created xsi:type="dcterms:W3CDTF">2020-09-26T02:24:00Z</dcterms:created>
  <dcterms:modified xsi:type="dcterms:W3CDTF">2024-07-26T20:20:00Z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d87c959d-e132-487f-aaf5-5ce2239c132f</vt:lpwstr>
  </property>
  <property fmtid="{D5CDD505-2E9C-101B-9397-08002B2CF9AE}" pid="4" name="MediaServiceImageTags">
    <vt:lpwstr/>
  </property>
</Properties>
</file>